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EF" w:rsidRPr="00CF71EF" w:rsidRDefault="00CF71EF" w:rsidP="00CF71EF">
      <w:pPr>
        <w:spacing w:line="360" w:lineRule="auto"/>
        <w:rPr>
          <w:b/>
          <w:color w:val="000000"/>
          <w:sz w:val="24"/>
          <w:szCs w:val="24"/>
          <w:lang w:val="pl-PL"/>
        </w:rPr>
      </w:pPr>
      <w:r w:rsidRPr="00CF71EF">
        <w:rPr>
          <w:b/>
          <w:color w:val="000000"/>
          <w:sz w:val="24"/>
          <w:szCs w:val="24"/>
          <w:lang w:val="pl-PL"/>
        </w:rPr>
        <w:t xml:space="preserve">WYMAGANIA I ZAKRES WIEDZY </w:t>
      </w:r>
      <w:r w:rsidR="000D3E28">
        <w:rPr>
          <w:b/>
          <w:color w:val="000000"/>
          <w:sz w:val="24"/>
          <w:szCs w:val="24"/>
          <w:lang w:val="pl-PL"/>
        </w:rPr>
        <w:t>NIEZBĘDNEJ DO ZALICZENIA EGZAMINU</w:t>
      </w:r>
      <w:r w:rsidR="003D1F44">
        <w:rPr>
          <w:b/>
          <w:color w:val="000000"/>
          <w:sz w:val="24"/>
          <w:szCs w:val="24"/>
          <w:lang w:val="pl-PL"/>
        </w:rPr>
        <w:t xml:space="preserve"> CENTRALNEGO</w:t>
      </w:r>
      <w:bookmarkStart w:id="0" w:name="_GoBack"/>
      <w:bookmarkEnd w:id="0"/>
    </w:p>
    <w:p w:rsidR="00CF71EF" w:rsidRDefault="00CF71EF" w:rsidP="00CF71EF">
      <w:pPr>
        <w:spacing w:line="360" w:lineRule="auto"/>
        <w:jc w:val="both"/>
        <w:rPr>
          <w:b/>
          <w:color w:val="000000"/>
          <w:sz w:val="24"/>
          <w:szCs w:val="24"/>
          <w:lang w:val="pl-PL"/>
        </w:rPr>
      </w:pPr>
    </w:p>
    <w:p w:rsidR="00CF71EF" w:rsidRDefault="00CF71EF" w:rsidP="00CF71EF">
      <w:pPr>
        <w:spacing w:line="360" w:lineRule="auto"/>
        <w:jc w:val="both"/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Egzamin centralny:</w:t>
      </w:r>
    </w:p>
    <w:p w:rsidR="00CF71EF" w:rsidRDefault="00CF71EF" w:rsidP="00CF71EF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Wymagania niezbędne do uzyskania certyfikatu:</w:t>
      </w:r>
    </w:p>
    <w:p w:rsidR="00CF71EF" w:rsidRDefault="00CF71EF" w:rsidP="00CF71EF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Uzyskanie 60% pozytywnych odpowiedzi w trakcie egzaminu testowego realizowanego przez COK;</w:t>
      </w:r>
    </w:p>
    <w:p w:rsidR="00CF71EF" w:rsidRDefault="00CF71EF" w:rsidP="00CF71EF">
      <w:pPr>
        <w:pStyle w:val="Akapitzlist1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Kryteria kwalifikacji na egzamin:</w:t>
      </w:r>
    </w:p>
    <w:p w:rsidR="00CF71EF" w:rsidRDefault="00CF71EF" w:rsidP="00CF71EF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Posiadanie dyplomu położnej i aktualnego prawa wykonywania zawodu położonej;</w:t>
      </w:r>
    </w:p>
    <w:p w:rsidR="00CF71EF" w:rsidRDefault="00CF71EF" w:rsidP="00CF71EF">
      <w:pPr>
        <w:pStyle w:val="Akapitzlist1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potwierdzone pisemnie (według wzoru określonego w Załączniku nr 1):</w:t>
      </w:r>
    </w:p>
    <w:p w:rsidR="00CF71EF" w:rsidRDefault="00CF71EF" w:rsidP="00CF71EF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Odbycie stażu w Poradni Ginekologiczno-Położniczej posiadającej kontrakt z Narodowym Funduszem Zdrowia w zakresie Programu profilaktyki raka szyjki macicy – czas trwania stażu jest ustalany indywidualnie i ma umożliwić nabycie praktycznych umiejętności w zakresie samodzielnego pobierania rozmazów cytologicznych przez położną;</w:t>
      </w:r>
    </w:p>
    <w:p w:rsidR="00CF71EF" w:rsidRDefault="00CF71EF" w:rsidP="00CF71EF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Samodzielne pobranie 30 rozmazów cytologicznych pod nadzorem lekarza posiadającego specjalizację w dziedzinie ginekologii i położnictwa lub położnej posiadającej certyfikat COK/WOK w zakresie pobierania rozmazów cytologicznych;</w:t>
      </w:r>
    </w:p>
    <w:p w:rsidR="00CF71EF" w:rsidRDefault="00CF71EF" w:rsidP="00CF71EF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Obsługa Systemu Informatycznego Monitorowania Profilaktyki (SIMP) w zakresie rejestracji, zatwierdzania, wyszukiwania badań i niezbędnej obsługi w zakresie etapu podstawowego programu;</w:t>
      </w:r>
    </w:p>
    <w:p w:rsidR="00CF71EF" w:rsidRDefault="00CF71EF" w:rsidP="00CF71EF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Egzamin obejmuje 50 pytań testowych z 5-ma </w:t>
      </w:r>
      <w:proofErr w:type="spellStart"/>
      <w:r>
        <w:rPr>
          <w:sz w:val="24"/>
          <w:szCs w:val="24"/>
          <w:lang w:val="pl-PL"/>
        </w:rPr>
        <w:t>dystraktorami</w:t>
      </w:r>
      <w:proofErr w:type="spellEnd"/>
      <w:r>
        <w:rPr>
          <w:sz w:val="24"/>
          <w:szCs w:val="24"/>
          <w:lang w:val="pl-PL"/>
        </w:rPr>
        <w:t xml:space="preserve">. Czas trwania egzaminu – 60 min. Egzamin odbywa się w miejscu i terminie wyznaczonym przez COK. </w:t>
      </w:r>
    </w:p>
    <w:p w:rsidR="00CF71EF" w:rsidRDefault="00CF71EF" w:rsidP="00CF71EF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Zakres wiedzy wymaganej w tracie egzaminu testowego: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Podstawy anatomii prawidłowej żeńskiego narządu płciowego ze szczególnym uwzględnieniem dolnego odcinka (szyjka macicy, pochwa, srom)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Podstawy histologii żeńskiego narządu płciowego ze szczególnym uwzględnieniem dolnego odcinka (szyjka macicy, pochwa, srom)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Podstawy fizjologii żeńskiego narządu płciowego ze szczególnym uwzględnieniem dolnego odcinka (szyjka macicy, pochwa, srom)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Terminologia zmian makroskopowych w zakresie dolnego odcinka żeńskiego narządu płciowego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Wady wrodzone macicy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Stany </w:t>
      </w:r>
      <w:proofErr w:type="spellStart"/>
      <w:r>
        <w:rPr>
          <w:sz w:val="24"/>
          <w:szCs w:val="24"/>
          <w:lang w:val="pl-PL"/>
        </w:rPr>
        <w:t>pozabiegowe</w:t>
      </w:r>
      <w:proofErr w:type="spellEnd"/>
      <w:r>
        <w:rPr>
          <w:sz w:val="24"/>
          <w:szCs w:val="24"/>
          <w:lang w:val="pl-PL"/>
        </w:rPr>
        <w:t>/pooperacyjne żeńskiego narządu płciowego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Fizjologiczne zmiany w ciąży w zakresie żeńskiego narządu płciowego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Fizjologiczne zmiany związane z wiekiem w zakresie żeńskiego narządu płciowego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Stany przedrakowe szyjki macicy: etiologia (przyczyny), czynniki ryzyka, historia naturalna (progresja, regresja), podstawy histopatologii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Rak szyjki macicy – podstawy epidemiologii, objawy, podstawy histopatologii, ocena zaawansowania klinicznego wg FIGO (Międzynarodowa Federacja Ginekologii i Położnictwa)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Podstawy profilaktyki pierwotnej raka szyjki macicy – szczepienia przeciwko HPV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Cytologia jako test przesiewowy w profilaktyce wtórnej raka szyjki macicy:</w:t>
      </w:r>
    </w:p>
    <w:p w:rsidR="00CF71EF" w:rsidRDefault="00CF71EF" w:rsidP="00CF71EF">
      <w:pPr>
        <w:pStyle w:val="Akapitzlist1"/>
        <w:numPr>
          <w:ilvl w:val="0"/>
          <w:numId w:val="4"/>
        </w:numPr>
        <w:spacing w:line="360" w:lineRule="auto"/>
        <w:ind w:left="157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podstawy funkcjonowania badań przesiewowych – w jakim celu wykonuje się badania cytologiczne?</w:t>
      </w:r>
    </w:p>
    <w:p w:rsidR="00CF71EF" w:rsidRDefault="00CF71EF" w:rsidP="00CF71EF">
      <w:pPr>
        <w:pStyle w:val="Akapitzlist1"/>
        <w:numPr>
          <w:ilvl w:val="0"/>
          <w:numId w:val="4"/>
        </w:numPr>
        <w:spacing w:line="360" w:lineRule="auto"/>
        <w:ind w:left="157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rodzaje badań cytologicznych, przygotowywanie i barwienie preparatów cytologicznych</w:t>
      </w:r>
    </w:p>
    <w:p w:rsidR="00CF71EF" w:rsidRDefault="00CF71EF" w:rsidP="00CF71EF">
      <w:pPr>
        <w:pStyle w:val="Akapitzlist1"/>
        <w:numPr>
          <w:ilvl w:val="0"/>
          <w:numId w:val="4"/>
        </w:numPr>
        <w:spacing w:line="360" w:lineRule="auto"/>
        <w:ind w:left="157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ocena preparatów cytologicznych: system Bethesda 2014</w:t>
      </w:r>
    </w:p>
    <w:p w:rsidR="00CF71EF" w:rsidRDefault="00CF71EF" w:rsidP="00CF71EF">
      <w:pPr>
        <w:pStyle w:val="Akapitzlist1"/>
        <w:numPr>
          <w:ilvl w:val="0"/>
          <w:numId w:val="4"/>
        </w:numPr>
        <w:spacing w:line="360" w:lineRule="auto"/>
        <w:ind w:left="157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czynniki wpływające na jakość rozmazu cytologicznego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Diagnostyka pogłębiona i dodatkowe metody diagnostyce zmian szyjki macicy:</w:t>
      </w:r>
    </w:p>
    <w:p w:rsidR="00CF71EF" w:rsidRDefault="00CF71EF" w:rsidP="00CF71EF">
      <w:pPr>
        <w:pStyle w:val="Akapitzlist1"/>
        <w:numPr>
          <w:ilvl w:val="0"/>
          <w:numId w:val="5"/>
        </w:numPr>
        <w:spacing w:line="360" w:lineRule="auto"/>
        <w:ind w:left="114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Podstawy </w:t>
      </w:r>
      <w:proofErr w:type="spellStart"/>
      <w:r>
        <w:rPr>
          <w:sz w:val="24"/>
          <w:szCs w:val="24"/>
          <w:lang w:val="pl-PL"/>
        </w:rPr>
        <w:t>kolposkopii</w:t>
      </w:r>
      <w:proofErr w:type="spellEnd"/>
    </w:p>
    <w:p w:rsidR="00CF71EF" w:rsidRDefault="00CF71EF" w:rsidP="00CF71EF">
      <w:pPr>
        <w:pStyle w:val="Akapitzlist1"/>
        <w:numPr>
          <w:ilvl w:val="0"/>
          <w:numId w:val="5"/>
        </w:numPr>
        <w:spacing w:line="360" w:lineRule="auto"/>
        <w:ind w:left="114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Zastosowanie testów HPV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Podstawy leczenia stanów przedrakowych szyjki macicy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Rola położnej w profilaktyce raka szyjki macicy w Polsce</w:t>
      </w:r>
    </w:p>
    <w:p w:rsidR="00CF71EF" w:rsidRDefault="00CF71EF" w:rsidP="00CF71EF">
      <w:pPr>
        <w:pStyle w:val="Akapitzlist1"/>
        <w:numPr>
          <w:ilvl w:val="0"/>
          <w:numId w:val="6"/>
        </w:numPr>
        <w:spacing w:line="360" w:lineRule="auto"/>
        <w:ind w:left="114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Edukacja zdrowotna w zakresie profilaktyki pierwotnej i wtórnej</w:t>
      </w:r>
    </w:p>
    <w:p w:rsidR="00CF71EF" w:rsidRDefault="00CF71EF" w:rsidP="00CF71EF">
      <w:pPr>
        <w:pStyle w:val="Akapitzlist1"/>
        <w:numPr>
          <w:ilvl w:val="0"/>
          <w:numId w:val="6"/>
        </w:numPr>
        <w:spacing w:line="360" w:lineRule="auto"/>
        <w:ind w:left="114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Miejsce położnej w programie profilaktyki raka szyjki macicy w Polsce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Podstawy organizacji </w:t>
      </w:r>
      <w:proofErr w:type="spellStart"/>
      <w:r>
        <w:rPr>
          <w:sz w:val="24"/>
          <w:szCs w:val="24"/>
          <w:lang w:val="pl-PL"/>
        </w:rPr>
        <w:t>skriningu</w:t>
      </w:r>
      <w:proofErr w:type="spellEnd"/>
      <w:r>
        <w:rPr>
          <w:sz w:val="24"/>
          <w:szCs w:val="24"/>
          <w:lang w:val="pl-PL"/>
        </w:rPr>
        <w:t xml:space="preserve"> raka szyjki macicy na świecie</w:t>
      </w:r>
    </w:p>
    <w:p w:rsidR="00CF71EF" w:rsidRDefault="00CF71EF" w:rsidP="00CF71EF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Organizacja programu profilaktyki raka szyjki macicy w Polsce</w:t>
      </w:r>
    </w:p>
    <w:p w:rsidR="0042276D" w:rsidRPr="00CF71EF" w:rsidRDefault="00CF71EF" w:rsidP="008A2D0A">
      <w:pPr>
        <w:pStyle w:val="Akapitzlist1"/>
        <w:numPr>
          <w:ilvl w:val="0"/>
          <w:numId w:val="3"/>
        </w:numPr>
        <w:spacing w:line="360" w:lineRule="auto"/>
        <w:ind w:left="852" w:hanging="426"/>
        <w:jc w:val="both"/>
        <w:rPr>
          <w:lang w:val="pl-PL"/>
        </w:rPr>
      </w:pPr>
      <w:r w:rsidRPr="00CF71EF">
        <w:rPr>
          <w:sz w:val="24"/>
          <w:szCs w:val="24"/>
          <w:lang w:val="pl-PL"/>
        </w:rPr>
        <w:t>Obsługa SIMP w zakresie etapu podstawowego programu profilaktyki raka szyjki macicy</w:t>
      </w:r>
    </w:p>
    <w:sectPr w:rsidR="0042276D" w:rsidRPr="00CF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778B"/>
    <w:multiLevelType w:val="hybridMultilevel"/>
    <w:tmpl w:val="83CCC10C"/>
    <w:lvl w:ilvl="0" w:tplc="C284E4B8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A128E5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77AA9"/>
    <w:multiLevelType w:val="hybridMultilevel"/>
    <w:tmpl w:val="E332ACEA"/>
    <w:lvl w:ilvl="0" w:tplc="9D8EC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086D"/>
    <w:multiLevelType w:val="hybridMultilevel"/>
    <w:tmpl w:val="DD603906"/>
    <w:lvl w:ilvl="0" w:tplc="9D8ECF9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9C7BEF"/>
    <w:multiLevelType w:val="hybridMultilevel"/>
    <w:tmpl w:val="86DE5E16"/>
    <w:lvl w:ilvl="0" w:tplc="9D8EC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335E"/>
    <w:multiLevelType w:val="hybridMultilevel"/>
    <w:tmpl w:val="B0C64E64"/>
    <w:lvl w:ilvl="0" w:tplc="9D8EC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330E"/>
    <w:multiLevelType w:val="hybridMultilevel"/>
    <w:tmpl w:val="003E94DE"/>
    <w:lvl w:ilvl="0" w:tplc="B4384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EF"/>
    <w:rsid w:val="000D3E28"/>
    <w:rsid w:val="003D1F44"/>
    <w:rsid w:val="0042276D"/>
    <w:rsid w:val="00C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C56A-86CB-4F4D-8C7D-8070535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1EF"/>
    <w:pPr>
      <w:spacing w:after="0" w:line="276" w:lineRule="auto"/>
      <w:jc w:val="center"/>
    </w:pPr>
    <w:rPr>
      <w:rFonts w:ascii="Times New Roman" w:eastAsia="Times New Roman" w:hAnsi="Times New Roman" w:cs="Times New Roman"/>
      <w:sz w:val="27"/>
      <w:szCs w:val="27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F7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2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cp:lastPrinted>2017-07-11T10:51:00Z</cp:lastPrinted>
  <dcterms:created xsi:type="dcterms:W3CDTF">2017-07-11T10:19:00Z</dcterms:created>
  <dcterms:modified xsi:type="dcterms:W3CDTF">2017-07-11T10:52:00Z</dcterms:modified>
</cp:coreProperties>
</file>